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9035" w14:textId="03EC0CAB" w:rsidR="00BD7E12" w:rsidRPr="00BC616D" w:rsidRDefault="00BD7E12" w:rsidP="00BD7E12">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r>
        <w:rPr>
          <w:rFonts w:ascii="Arial" w:eastAsia="DINPro" w:hAnsi="Arial" w:cs="Arial"/>
          <w:sz w:val="24"/>
          <w:szCs w:val="24"/>
          <w:lang w:val="et-EE"/>
        </w:rPr>
        <w:tab/>
        <w:t>Teie 11.05.2026</w:t>
      </w:r>
      <w:r w:rsidRPr="00BC616D">
        <w:rPr>
          <w:rFonts w:ascii="Arial" w:eastAsia="DINPro" w:hAnsi="Arial" w:cs="Arial"/>
          <w:sz w:val="24"/>
          <w:szCs w:val="24"/>
          <w:lang w:val="et-EE"/>
        </w:rPr>
        <w:t xml:space="preserve"> </w:t>
      </w:r>
      <w:r w:rsidRPr="00BE383C">
        <w:rPr>
          <w:rFonts w:ascii="Arial" w:eastAsia="DINPro" w:hAnsi="Arial" w:cs="Arial"/>
          <w:sz w:val="24"/>
          <w:szCs w:val="24"/>
          <w:lang w:val="et-EE"/>
        </w:rPr>
        <w:t xml:space="preserve">nr </w:t>
      </w:r>
      <w:r w:rsidRPr="00BD7E12">
        <w:rPr>
          <w:rFonts w:ascii="Arial" w:eastAsia="DINPro" w:hAnsi="Arial" w:cs="Arial"/>
          <w:sz w:val="24"/>
          <w:szCs w:val="24"/>
          <w:lang w:val="et-EE"/>
        </w:rPr>
        <w:t>8-1/3796-1</w:t>
      </w:r>
    </w:p>
    <w:p w14:paraId="46A8E700" w14:textId="05BB6147" w:rsidR="00BD7E12" w:rsidRPr="00BD7E12" w:rsidRDefault="00BD7E12" w:rsidP="00BD7E12">
      <w:pPr>
        <w:tabs>
          <w:tab w:val="left" w:pos="5245"/>
        </w:tabs>
        <w:spacing w:after="0" w:line="240" w:lineRule="auto"/>
        <w:jc w:val="both"/>
        <w:rPr>
          <w:rFonts w:ascii="Arial" w:hAnsi="Arial" w:cs="Arial"/>
          <w:sz w:val="24"/>
          <w:szCs w:val="24"/>
        </w:rPr>
      </w:pPr>
      <w:hyperlink r:id="rId7" w:history="1">
        <w:r w:rsidRPr="0091532B">
          <w:rPr>
            <w:rStyle w:val="Hperlink"/>
            <w:rFonts w:ascii="Arial" w:hAnsi="Arial" w:cs="Arial"/>
            <w:sz w:val="24"/>
            <w:szCs w:val="24"/>
          </w:rPr>
          <w:t>natalja.zinovjeva@justdigi.ee</w:t>
        </w:r>
      </w:hyperlink>
      <w:r>
        <w:rPr>
          <w:rFonts w:ascii="Arial" w:hAnsi="Arial" w:cs="Arial"/>
          <w:sz w:val="24"/>
          <w:szCs w:val="24"/>
        </w:rPr>
        <w:t xml:space="preserve"> </w:t>
      </w:r>
    </w:p>
    <w:p w14:paraId="79B39DCD" w14:textId="1210D861" w:rsidR="00BD7E12" w:rsidRPr="002F1E7F" w:rsidRDefault="00BD7E12" w:rsidP="00BD7E12">
      <w:pPr>
        <w:tabs>
          <w:tab w:val="left" w:pos="5245"/>
        </w:tabs>
        <w:spacing w:after="0" w:line="240" w:lineRule="auto"/>
        <w:jc w:val="both"/>
        <w:rPr>
          <w:rFonts w:ascii="Arial" w:eastAsia="DINPro" w:hAnsi="Arial" w:cs="Arial"/>
          <w:sz w:val="24"/>
          <w:szCs w:val="24"/>
          <w:lang w:val="et-EE"/>
        </w:rPr>
      </w:pPr>
      <w:hyperlink r:id="rId8" w:history="1">
        <w:r w:rsidRPr="0091532B">
          <w:rPr>
            <w:rStyle w:val="Hperlink"/>
            <w:rFonts w:ascii="Arial" w:eastAsia="DINPro" w:hAnsi="Arial" w:cs="Arial"/>
            <w:sz w:val="24"/>
            <w:szCs w:val="24"/>
            <w:lang w:val="et-EE"/>
          </w:rPr>
          <w:t>info@justdigi.ee</w:t>
        </w:r>
      </w:hyperlink>
      <w:r>
        <w:rPr>
          <w:rFonts w:ascii="Arial" w:eastAsia="DINPro" w:hAnsi="Arial" w:cs="Arial"/>
          <w:sz w:val="24"/>
          <w:szCs w:val="24"/>
          <w:lang w:val="et-EE"/>
        </w:rPr>
        <w:t xml:space="preserve"> </w:t>
      </w:r>
      <w:r w:rsidRPr="002F1E7F">
        <w:rPr>
          <w:rFonts w:ascii="Arial" w:eastAsia="DINPro" w:hAnsi="Arial" w:cs="Arial"/>
          <w:sz w:val="24"/>
          <w:szCs w:val="24"/>
          <w:lang w:val="et-EE"/>
        </w:rPr>
        <w:tab/>
      </w:r>
      <w:r w:rsidRPr="00EC3D40">
        <w:rPr>
          <w:rFonts w:ascii="Arial" w:eastAsia="DINPro" w:hAnsi="Arial" w:cs="Arial"/>
          <w:sz w:val="24"/>
          <w:szCs w:val="24"/>
          <w:lang w:val="et-EE"/>
        </w:rPr>
        <w:t>Meie 25.05.2026 nr 4/</w:t>
      </w:r>
      <w:r w:rsidR="00EC3D40" w:rsidRPr="00EC3D40">
        <w:rPr>
          <w:rFonts w:ascii="Arial" w:eastAsia="DINPro" w:hAnsi="Arial" w:cs="Arial"/>
          <w:sz w:val="24"/>
          <w:szCs w:val="24"/>
          <w:lang w:val="et-EE"/>
        </w:rPr>
        <w:t>98</w:t>
      </w:r>
    </w:p>
    <w:p w14:paraId="7AB9BA8E" w14:textId="77777777" w:rsidR="00BD7E12" w:rsidRPr="002F1E7F" w:rsidRDefault="00BD7E12" w:rsidP="00BD7E12">
      <w:pPr>
        <w:spacing w:after="0" w:line="240" w:lineRule="auto"/>
        <w:jc w:val="both"/>
        <w:rPr>
          <w:rFonts w:ascii="Arial" w:eastAsia="DINPro" w:hAnsi="Arial" w:cs="Arial"/>
          <w:sz w:val="24"/>
          <w:szCs w:val="24"/>
          <w:lang w:val="et-EE"/>
        </w:rPr>
      </w:pPr>
    </w:p>
    <w:p w14:paraId="4236C7CE" w14:textId="77777777" w:rsidR="00BD7E12" w:rsidRPr="002F1E7F" w:rsidRDefault="00BD7E12" w:rsidP="00BD7E12">
      <w:pPr>
        <w:spacing w:after="0" w:line="240" w:lineRule="auto"/>
        <w:jc w:val="both"/>
        <w:rPr>
          <w:rFonts w:ascii="Arial" w:eastAsia="DINPro" w:hAnsi="Arial" w:cs="Arial"/>
          <w:sz w:val="24"/>
          <w:szCs w:val="24"/>
          <w:lang w:val="et-EE"/>
        </w:rPr>
      </w:pPr>
    </w:p>
    <w:p w14:paraId="4A9C0B2B" w14:textId="77777777" w:rsidR="00BD7E12" w:rsidRPr="002F1E7F" w:rsidRDefault="00BD7E12" w:rsidP="00BD7E12">
      <w:pPr>
        <w:spacing w:after="0" w:line="240" w:lineRule="auto"/>
        <w:jc w:val="both"/>
        <w:rPr>
          <w:rFonts w:ascii="Arial" w:eastAsia="DINPro" w:hAnsi="Arial" w:cs="Arial"/>
          <w:sz w:val="24"/>
          <w:szCs w:val="24"/>
          <w:lang w:val="et-EE"/>
        </w:rPr>
      </w:pPr>
    </w:p>
    <w:p w14:paraId="5F654896" w14:textId="77777777" w:rsidR="00BD7E12" w:rsidRPr="002F1E7F" w:rsidRDefault="00BD7E12" w:rsidP="00BD7E12">
      <w:pPr>
        <w:spacing w:after="0" w:line="240" w:lineRule="auto"/>
        <w:jc w:val="both"/>
        <w:rPr>
          <w:rFonts w:ascii="Arial" w:eastAsia="DINPro" w:hAnsi="Arial" w:cs="Arial"/>
          <w:sz w:val="24"/>
          <w:szCs w:val="24"/>
          <w:lang w:val="et-EE"/>
        </w:rPr>
      </w:pPr>
    </w:p>
    <w:p w14:paraId="4B9E85C6" w14:textId="77777777" w:rsidR="00BD7E12" w:rsidRPr="002F1E7F" w:rsidRDefault="00BD7E12" w:rsidP="00BD7E12">
      <w:pPr>
        <w:spacing w:after="0" w:line="240" w:lineRule="auto"/>
        <w:jc w:val="both"/>
        <w:rPr>
          <w:rFonts w:ascii="Arial" w:eastAsia="DINPro" w:hAnsi="Arial" w:cs="Arial"/>
          <w:sz w:val="24"/>
          <w:szCs w:val="24"/>
          <w:lang w:val="et-EE"/>
        </w:rPr>
      </w:pPr>
    </w:p>
    <w:p w14:paraId="71A76251" w14:textId="77777777" w:rsidR="00BD7E12" w:rsidRDefault="00BD7E12" w:rsidP="00BD7E12">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sidRPr="00BD7E12">
        <w:rPr>
          <w:rFonts w:ascii="Arial" w:eastAsia="DINPro" w:hAnsi="Arial" w:cs="Arial"/>
          <w:b/>
          <w:sz w:val="24"/>
          <w:szCs w:val="24"/>
          <w:lang w:val="et-EE"/>
        </w:rPr>
        <w:t xml:space="preserve">justiits- ja digiministri määruse </w:t>
      </w:r>
    </w:p>
    <w:p w14:paraId="17B54F7C" w14:textId="77777777" w:rsidR="00BD7E12" w:rsidRDefault="00BD7E12" w:rsidP="00BD7E12">
      <w:pPr>
        <w:spacing w:after="0" w:line="240" w:lineRule="auto"/>
        <w:jc w:val="both"/>
        <w:rPr>
          <w:rFonts w:ascii="Arial" w:eastAsia="DINPro" w:hAnsi="Arial" w:cs="Arial"/>
          <w:b/>
          <w:sz w:val="24"/>
          <w:szCs w:val="24"/>
          <w:lang w:val="et-EE"/>
        </w:rPr>
      </w:pPr>
      <w:r w:rsidRPr="00BD7E12">
        <w:rPr>
          <w:rFonts w:ascii="Arial" w:eastAsia="DINPro" w:hAnsi="Arial" w:cs="Arial"/>
          <w:b/>
          <w:sz w:val="24"/>
          <w:szCs w:val="24"/>
          <w:lang w:val="et-EE"/>
        </w:rPr>
        <w:t xml:space="preserve">„Küberturvalisuse taseme tõstmise toetuse andmise </w:t>
      </w:r>
    </w:p>
    <w:p w14:paraId="11080397" w14:textId="3D739F5C" w:rsidR="00BD7E12" w:rsidRPr="002F1E7F" w:rsidRDefault="00BD7E12" w:rsidP="00BD7E12">
      <w:pPr>
        <w:spacing w:after="0" w:line="240" w:lineRule="auto"/>
        <w:jc w:val="both"/>
        <w:rPr>
          <w:rFonts w:ascii="Arial" w:eastAsia="DINPro" w:hAnsi="Arial" w:cs="Arial"/>
          <w:b/>
          <w:sz w:val="24"/>
          <w:szCs w:val="24"/>
          <w:lang w:val="et-EE"/>
        </w:rPr>
      </w:pPr>
      <w:r w:rsidRPr="00BD7E12">
        <w:rPr>
          <w:rFonts w:ascii="Arial" w:eastAsia="DINPro" w:hAnsi="Arial" w:cs="Arial"/>
          <w:b/>
          <w:sz w:val="24"/>
          <w:szCs w:val="24"/>
          <w:lang w:val="et-EE"/>
        </w:rPr>
        <w:t>ja kasutamise tingimused“ eelnõu</w:t>
      </w:r>
      <w:r>
        <w:rPr>
          <w:rFonts w:ascii="Arial" w:eastAsia="DINPro" w:hAnsi="Arial" w:cs="Arial"/>
          <w:b/>
          <w:sz w:val="24"/>
          <w:szCs w:val="24"/>
          <w:lang w:val="et-EE"/>
        </w:rPr>
        <w:t xml:space="preserve"> kohta</w:t>
      </w:r>
    </w:p>
    <w:p w14:paraId="7B7E69E7" w14:textId="77777777" w:rsidR="00BD7E12" w:rsidRPr="002F1E7F" w:rsidRDefault="00BD7E12" w:rsidP="00BD7E12">
      <w:pPr>
        <w:spacing w:after="0" w:line="240" w:lineRule="auto"/>
        <w:jc w:val="both"/>
        <w:rPr>
          <w:rFonts w:ascii="Arial" w:eastAsia="DINPro" w:hAnsi="Arial" w:cs="Arial"/>
          <w:sz w:val="24"/>
          <w:szCs w:val="24"/>
          <w:lang w:val="et-EE"/>
        </w:rPr>
      </w:pPr>
    </w:p>
    <w:p w14:paraId="3BB1D002" w14:textId="57A96B97" w:rsidR="00BD7E12" w:rsidRPr="002F1E7F" w:rsidRDefault="00BD7E12" w:rsidP="00BD7E12">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proofErr w:type="spellStart"/>
      <w:r>
        <w:rPr>
          <w:rFonts w:ascii="Arial" w:eastAsia="DINPro" w:hAnsi="Arial" w:cs="Arial"/>
          <w:sz w:val="24"/>
          <w:szCs w:val="24"/>
          <w:lang w:val="et-EE"/>
        </w:rPr>
        <w:t>Liisa-Ly</w:t>
      </w:r>
      <w:proofErr w:type="spellEnd"/>
      <w:r>
        <w:rPr>
          <w:rFonts w:ascii="Arial" w:eastAsia="DINPro" w:hAnsi="Arial" w:cs="Arial"/>
          <w:sz w:val="24"/>
          <w:szCs w:val="24"/>
          <w:lang w:val="et-EE"/>
        </w:rPr>
        <w:t xml:space="preserve"> Pakosta</w:t>
      </w:r>
      <w:r w:rsidRPr="002F1E7F">
        <w:rPr>
          <w:rFonts w:ascii="Arial" w:eastAsia="DINPro" w:hAnsi="Arial" w:cs="Arial"/>
          <w:sz w:val="24"/>
          <w:szCs w:val="24"/>
          <w:lang w:val="et-EE"/>
        </w:rPr>
        <w:t>!</w:t>
      </w:r>
    </w:p>
    <w:p w14:paraId="2F85B7C4" w14:textId="77777777" w:rsidR="00BD7E12" w:rsidRPr="002F1E7F" w:rsidRDefault="00BD7E12" w:rsidP="00BD7E12">
      <w:pPr>
        <w:spacing w:after="0" w:line="240" w:lineRule="auto"/>
        <w:jc w:val="both"/>
        <w:rPr>
          <w:rFonts w:ascii="Arial" w:eastAsia="DINPro" w:hAnsi="Arial" w:cs="Arial"/>
          <w:sz w:val="24"/>
          <w:szCs w:val="24"/>
          <w:lang w:val="et-EE"/>
        </w:rPr>
      </w:pPr>
    </w:p>
    <w:p w14:paraId="79A64243" w14:textId="1A8F10D3" w:rsidR="00BD7E12" w:rsidRDefault="00BD7E12" w:rsidP="00BD7E12">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 xml:space="preserve">Justiits- ja Digiministeeriumit võimaluse eest avaldada arvamus </w:t>
      </w:r>
      <w:r w:rsidRPr="00BD7E12">
        <w:rPr>
          <w:rFonts w:ascii="Arial" w:eastAsia="DINPro" w:hAnsi="Arial" w:cs="Arial"/>
          <w:sz w:val="24"/>
          <w:szCs w:val="24"/>
          <w:lang w:val="et-EE"/>
        </w:rPr>
        <w:t xml:space="preserve">justiits- ja digiministri määruse </w:t>
      </w:r>
      <w:r>
        <w:rPr>
          <w:rFonts w:ascii="Arial" w:eastAsia="DINPro" w:hAnsi="Arial" w:cs="Arial"/>
          <w:sz w:val="24"/>
          <w:szCs w:val="24"/>
          <w:lang w:val="et-EE"/>
        </w:rPr>
        <w:t xml:space="preserve"> </w:t>
      </w:r>
      <w:r w:rsidRPr="00BD7E12">
        <w:rPr>
          <w:rFonts w:ascii="Arial" w:eastAsia="DINPro" w:hAnsi="Arial" w:cs="Arial"/>
          <w:sz w:val="24"/>
          <w:szCs w:val="24"/>
          <w:lang w:val="et-EE"/>
        </w:rPr>
        <w:t xml:space="preserve">„Küberturvalisuse taseme tõstmise toetuse andmise </w:t>
      </w:r>
      <w:r>
        <w:rPr>
          <w:rFonts w:ascii="Arial" w:eastAsia="DINPro" w:hAnsi="Arial" w:cs="Arial"/>
          <w:sz w:val="24"/>
          <w:szCs w:val="24"/>
          <w:lang w:val="et-EE"/>
        </w:rPr>
        <w:t xml:space="preserve"> </w:t>
      </w:r>
      <w:r w:rsidRPr="00BD7E12">
        <w:rPr>
          <w:rFonts w:ascii="Arial" w:eastAsia="DINPro" w:hAnsi="Arial" w:cs="Arial"/>
          <w:sz w:val="24"/>
          <w:szCs w:val="24"/>
          <w:lang w:val="et-EE"/>
        </w:rPr>
        <w:t>ja kasutamise tingimused“ eelnõu kohta</w:t>
      </w:r>
      <w:r>
        <w:rPr>
          <w:rFonts w:ascii="Arial" w:eastAsia="DINPro" w:hAnsi="Arial" w:cs="Arial"/>
          <w:sz w:val="24"/>
          <w:szCs w:val="24"/>
          <w:lang w:val="et-EE"/>
        </w:rPr>
        <w:t xml:space="preserve">. </w:t>
      </w:r>
      <w:r w:rsidRPr="00BD7E12">
        <w:rPr>
          <w:rFonts w:ascii="Arial" w:eastAsia="DINPro" w:hAnsi="Arial" w:cs="Arial"/>
          <w:sz w:val="24"/>
          <w:szCs w:val="24"/>
          <w:lang w:val="et-EE"/>
        </w:rPr>
        <w:t xml:space="preserve">Kaubanduskoda toetab eesmärki aidata ettevõtjatel saavutada küberturvalisuse kõrgem tase ning vähendada </w:t>
      </w:r>
      <w:proofErr w:type="spellStart"/>
      <w:r w:rsidRPr="00BD7E12">
        <w:rPr>
          <w:rFonts w:ascii="Arial" w:eastAsia="DINPro" w:hAnsi="Arial" w:cs="Arial"/>
          <w:sz w:val="24"/>
          <w:szCs w:val="24"/>
          <w:lang w:val="et-EE"/>
        </w:rPr>
        <w:t>küberintsidentide</w:t>
      </w:r>
      <w:proofErr w:type="spellEnd"/>
      <w:r w:rsidRPr="00BD7E12">
        <w:rPr>
          <w:rFonts w:ascii="Arial" w:eastAsia="DINPro" w:hAnsi="Arial" w:cs="Arial"/>
          <w:sz w:val="24"/>
          <w:szCs w:val="24"/>
          <w:lang w:val="et-EE"/>
        </w:rPr>
        <w:t xml:space="preserve"> tagajärjel tekkivat võimalikku kahju, eriti arvestades uute subjektide lisandumist seoses NIS2-direktiivi ülevõtmisega. Toetame põhimõtet, et riik pakub </w:t>
      </w:r>
      <w:r>
        <w:rPr>
          <w:rFonts w:ascii="Arial" w:eastAsia="DINPro" w:hAnsi="Arial" w:cs="Arial"/>
          <w:sz w:val="24"/>
          <w:szCs w:val="24"/>
          <w:lang w:val="et-EE"/>
        </w:rPr>
        <w:t>toetust</w:t>
      </w:r>
      <w:r w:rsidRPr="00BD7E12">
        <w:rPr>
          <w:rFonts w:ascii="Arial" w:eastAsia="DINPro" w:hAnsi="Arial" w:cs="Arial"/>
          <w:sz w:val="24"/>
          <w:szCs w:val="24"/>
          <w:lang w:val="et-EE"/>
        </w:rPr>
        <w:t xml:space="preserve"> olukorras, kus ettevõtjate regulatiivne koormus kasvab.</w:t>
      </w:r>
      <w:r>
        <w:rPr>
          <w:rFonts w:ascii="Arial" w:eastAsia="DINPro" w:hAnsi="Arial" w:cs="Arial"/>
          <w:sz w:val="24"/>
          <w:szCs w:val="24"/>
          <w:lang w:val="et-EE"/>
        </w:rPr>
        <w:t xml:space="preserve"> Samas oleme järgnevalt toonud välja Kaubanduskoja kommentaarid plaanitava eelnõu kohta. </w:t>
      </w:r>
    </w:p>
    <w:p w14:paraId="5D2666EA" w14:textId="5C1D0E2B" w:rsidR="00BD7E12" w:rsidRPr="00BD7E12" w:rsidRDefault="00BD7E12" w:rsidP="00BD7E12">
      <w:pPr>
        <w:pStyle w:val="Loendilik"/>
        <w:numPr>
          <w:ilvl w:val="0"/>
          <w:numId w:val="1"/>
        </w:numPr>
        <w:spacing w:before="120" w:after="0" w:line="240" w:lineRule="auto"/>
        <w:jc w:val="both"/>
        <w:rPr>
          <w:rFonts w:ascii="Arial" w:eastAsia="DINPro" w:hAnsi="Arial" w:cs="Arial"/>
          <w:b/>
          <w:bCs/>
          <w:sz w:val="24"/>
          <w:szCs w:val="24"/>
          <w:lang w:val="et-EE"/>
        </w:rPr>
      </w:pPr>
      <w:r w:rsidRPr="00BD7E12">
        <w:rPr>
          <w:rFonts w:ascii="Arial" w:eastAsia="DINPro" w:hAnsi="Arial" w:cs="Arial"/>
          <w:b/>
          <w:bCs/>
          <w:sz w:val="24"/>
          <w:szCs w:val="24"/>
          <w:lang w:val="et-EE"/>
        </w:rPr>
        <w:t>Toetuse saajad</w:t>
      </w:r>
    </w:p>
    <w:p w14:paraId="087F70F4" w14:textId="6E7F0EF8" w:rsidR="00BD7E12" w:rsidRPr="00E92041" w:rsidRDefault="00BD7E12" w:rsidP="00E92041">
      <w:pPr>
        <w:pStyle w:val="Loendilik"/>
        <w:numPr>
          <w:ilvl w:val="1"/>
          <w:numId w:val="1"/>
        </w:numPr>
        <w:spacing w:before="120" w:after="0" w:line="240" w:lineRule="auto"/>
        <w:jc w:val="both"/>
        <w:rPr>
          <w:rFonts w:ascii="Arial" w:eastAsia="DINPro" w:hAnsi="Arial" w:cs="Arial"/>
          <w:sz w:val="24"/>
          <w:szCs w:val="24"/>
          <w:lang w:val="et-EE"/>
        </w:rPr>
      </w:pPr>
      <w:r w:rsidRPr="00E92041">
        <w:rPr>
          <w:rFonts w:ascii="Arial" w:eastAsia="DINPro" w:hAnsi="Arial" w:cs="Arial"/>
          <w:sz w:val="24"/>
          <w:szCs w:val="24"/>
          <w:lang w:val="et-EE"/>
        </w:rPr>
        <w:t>Eelnõu § 10 sätestab nõuded taotlejale ning antud sätte lõike 1 kohaselt „</w:t>
      </w:r>
      <w:r w:rsidRPr="00E92041">
        <w:rPr>
          <w:rFonts w:ascii="Arial" w:eastAsia="DINPro" w:hAnsi="Arial" w:cs="Arial"/>
          <w:i/>
          <w:iCs/>
          <w:sz w:val="24"/>
          <w:szCs w:val="24"/>
          <w:lang w:val="et-EE"/>
        </w:rPr>
        <w:t>taotleja on küberturvalisuse seaduse §-s 4</w:t>
      </w:r>
      <w:r w:rsidRPr="00E92041">
        <w:rPr>
          <w:rFonts w:ascii="Arial" w:eastAsia="DINPro" w:hAnsi="Arial" w:cs="Arial"/>
          <w:i/>
          <w:iCs/>
          <w:sz w:val="24"/>
          <w:szCs w:val="24"/>
          <w:vertAlign w:val="superscript"/>
          <w:lang w:val="et-EE"/>
        </w:rPr>
        <w:t>1</w:t>
      </w:r>
      <w:r w:rsidRPr="00E92041">
        <w:rPr>
          <w:rFonts w:ascii="Arial" w:eastAsia="DINPro" w:hAnsi="Arial" w:cs="Arial"/>
          <w:i/>
          <w:iCs/>
          <w:sz w:val="24"/>
          <w:szCs w:val="24"/>
          <w:lang w:val="et-EE"/>
        </w:rPr>
        <w:t xml:space="preserve"> nimetatud juriidilisest isikust teenuseosutaja ja domeeninimede registreerimise teenuse osutaja, kes täitis § 4</w:t>
      </w:r>
      <w:r w:rsidRPr="00E92041">
        <w:rPr>
          <w:rFonts w:ascii="Arial" w:eastAsia="DINPro" w:hAnsi="Arial" w:cs="Arial"/>
          <w:i/>
          <w:iCs/>
          <w:sz w:val="24"/>
          <w:szCs w:val="24"/>
          <w:vertAlign w:val="superscript"/>
          <w:lang w:val="et-EE"/>
        </w:rPr>
        <w:t>1</w:t>
      </w:r>
      <w:r w:rsidRPr="00E92041">
        <w:rPr>
          <w:rFonts w:ascii="Arial" w:eastAsia="DINPro" w:hAnsi="Arial" w:cs="Arial"/>
          <w:i/>
          <w:iCs/>
          <w:sz w:val="24"/>
          <w:szCs w:val="24"/>
          <w:lang w:val="et-EE"/>
        </w:rPr>
        <w:t xml:space="preserve"> lõikes 1 nimetatud kohustuse ja esitas määruse kohase taotluse toetuse saamiseks</w:t>
      </w:r>
      <w:r w:rsidRPr="00E92041">
        <w:rPr>
          <w:rFonts w:ascii="Arial" w:eastAsia="DINPro" w:hAnsi="Arial" w:cs="Arial"/>
          <w:sz w:val="24"/>
          <w:szCs w:val="24"/>
          <w:lang w:val="et-EE"/>
        </w:rPr>
        <w:t>“. Eelnõu seletuskirja lk-l 9 on täpsustatud, et „</w:t>
      </w:r>
      <w:r w:rsidRPr="00E92041">
        <w:rPr>
          <w:rFonts w:ascii="Arial" w:eastAsia="DINPro" w:hAnsi="Arial" w:cs="Arial"/>
          <w:i/>
          <w:iCs/>
          <w:sz w:val="24"/>
          <w:szCs w:val="24"/>
          <w:lang w:val="et-EE"/>
        </w:rPr>
        <w:t xml:space="preserve">tegemist on ettevõtjatega, kellele NIS2-direktiivi ülevõtmisega laiendati küberturvalisuse seaduse kohaldamisala, st nad ei olnud varem küberturvalisuse nõuete adressaadid, kuid peavad nüüd rakendama asjakohaseid turvameetmeid ning teavitama olulise mõjuga </w:t>
      </w:r>
      <w:proofErr w:type="spellStart"/>
      <w:r w:rsidRPr="00E92041">
        <w:rPr>
          <w:rFonts w:ascii="Arial" w:eastAsia="DINPro" w:hAnsi="Arial" w:cs="Arial"/>
          <w:i/>
          <w:iCs/>
          <w:sz w:val="24"/>
          <w:szCs w:val="24"/>
          <w:lang w:val="et-EE"/>
        </w:rPr>
        <w:t>küberintsidentidest</w:t>
      </w:r>
      <w:proofErr w:type="spellEnd"/>
      <w:r w:rsidRPr="00E92041">
        <w:rPr>
          <w:rFonts w:ascii="Arial" w:eastAsia="DINPro" w:hAnsi="Arial" w:cs="Arial"/>
          <w:i/>
          <w:iCs/>
          <w:sz w:val="24"/>
          <w:szCs w:val="24"/>
          <w:lang w:val="et-EE"/>
        </w:rPr>
        <w:t xml:space="preserve"> Riigi Infosüsteemi Ametit. Sellised teenuseosutajad on muu hulgas näiteks </w:t>
      </w:r>
      <w:proofErr w:type="spellStart"/>
      <w:r w:rsidRPr="00E92041">
        <w:rPr>
          <w:rFonts w:ascii="Arial" w:eastAsia="DINPro" w:hAnsi="Arial" w:cs="Arial"/>
          <w:i/>
          <w:iCs/>
          <w:sz w:val="24"/>
          <w:szCs w:val="24"/>
          <w:lang w:val="et-EE"/>
        </w:rPr>
        <w:t>pilvandmetöötlusteenuse</w:t>
      </w:r>
      <w:proofErr w:type="spellEnd"/>
      <w:r w:rsidRPr="00E92041">
        <w:rPr>
          <w:rFonts w:ascii="Arial" w:eastAsia="DINPro" w:hAnsi="Arial" w:cs="Arial"/>
          <w:i/>
          <w:iCs/>
          <w:sz w:val="24"/>
          <w:szCs w:val="24"/>
          <w:lang w:val="et-EE"/>
        </w:rPr>
        <w:t>, andmekeskusteenuse ja haldusteenuse osutajad, sideettevõtjad (kes ei ole elutähtsa teenuse osutajad), postiteenuse osutajad ning toidu hulgimüügi, tööstusliku tootmise või töötlemisega tegelevad ettevõtjad</w:t>
      </w:r>
      <w:r w:rsidRPr="00E92041">
        <w:rPr>
          <w:rFonts w:ascii="Arial" w:eastAsia="DINPro" w:hAnsi="Arial" w:cs="Arial"/>
          <w:sz w:val="24"/>
          <w:szCs w:val="24"/>
          <w:lang w:val="et-EE"/>
        </w:rPr>
        <w:t>“.</w:t>
      </w:r>
    </w:p>
    <w:p w14:paraId="569CFB5A" w14:textId="3401ECEE" w:rsidR="00EA5730" w:rsidRDefault="00BD7E12" w:rsidP="00E92041">
      <w:pPr>
        <w:spacing w:before="120" w:after="0" w:line="240" w:lineRule="auto"/>
        <w:ind w:left="1068"/>
        <w:jc w:val="both"/>
        <w:rPr>
          <w:rFonts w:ascii="Arial" w:eastAsia="DINPro" w:hAnsi="Arial" w:cs="Arial"/>
          <w:sz w:val="24"/>
          <w:szCs w:val="24"/>
          <w:lang w:val="et-EE"/>
        </w:rPr>
      </w:pPr>
      <w:r>
        <w:rPr>
          <w:rFonts w:ascii="Arial" w:eastAsia="DINPro" w:hAnsi="Arial" w:cs="Arial"/>
          <w:sz w:val="24"/>
          <w:szCs w:val="24"/>
          <w:lang w:val="et-EE"/>
        </w:rPr>
        <w:t>Kaubanduskoja hinnangul on eelnõu tekst sõnastatult liiga keeruliselt ning ettevõtjatel on keeruline mõista, kas neil on võimalik toetust tao</w:t>
      </w:r>
      <w:r w:rsidR="00B1006E">
        <w:rPr>
          <w:rFonts w:ascii="Arial" w:eastAsia="DINPro" w:hAnsi="Arial" w:cs="Arial"/>
          <w:sz w:val="24"/>
          <w:szCs w:val="24"/>
          <w:lang w:val="et-EE"/>
        </w:rPr>
        <w:t>t</w:t>
      </w:r>
      <w:r>
        <w:rPr>
          <w:rFonts w:ascii="Arial" w:eastAsia="DINPro" w:hAnsi="Arial" w:cs="Arial"/>
          <w:sz w:val="24"/>
          <w:szCs w:val="24"/>
          <w:lang w:val="et-EE"/>
        </w:rPr>
        <w:t>l</w:t>
      </w:r>
      <w:r w:rsidR="00B1006E">
        <w:rPr>
          <w:rFonts w:ascii="Arial" w:eastAsia="DINPro" w:hAnsi="Arial" w:cs="Arial"/>
          <w:sz w:val="24"/>
          <w:szCs w:val="24"/>
          <w:lang w:val="et-EE"/>
        </w:rPr>
        <w:t>e</w:t>
      </w:r>
      <w:r>
        <w:rPr>
          <w:rFonts w:ascii="Arial" w:eastAsia="DINPro" w:hAnsi="Arial" w:cs="Arial"/>
          <w:sz w:val="24"/>
          <w:szCs w:val="24"/>
          <w:lang w:val="et-EE"/>
        </w:rPr>
        <w:t xml:space="preserve">da või mitte. Näiteks ei tule eelnõu tekstist selgelt välja, et toetus on mõeldud ainult uutele </w:t>
      </w:r>
      <w:r w:rsidR="003569EC">
        <w:rPr>
          <w:rFonts w:ascii="Arial" w:eastAsia="DINPro" w:hAnsi="Arial" w:cs="Arial"/>
          <w:sz w:val="24"/>
          <w:szCs w:val="24"/>
          <w:lang w:val="et-EE"/>
        </w:rPr>
        <w:t xml:space="preserve">küberturvalisuse seaduse subjektidele. Samuti on toetuse taotleja puhul </w:t>
      </w:r>
      <w:r w:rsidR="003B5AE6">
        <w:rPr>
          <w:rFonts w:ascii="Arial" w:eastAsia="DINPro" w:hAnsi="Arial" w:cs="Arial"/>
          <w:sz w:val="24"/>
          <w:szCs w:val="24"/>
          <w:lang w:val="et-EE"/>
        </w:rPr>
        <w:t xml:space="preserve">viidatud </w:t>
      </w:r>
      <w:r w:rsidR="003569EC">
        <w:rPr>
          <w:rFonts w:ascii="Arial" w:eastAsia="DINPro" w:hAnsi="Arial" w:cs="Arial"/>
          <w:sz w:val="24"/>
          <w:szCs w:val="24"/>
          <w:lang w:val="et-EE"/>
        </w:rPr>
        <w:t xml:space="preserve">küberturvalisuse seaduse </w:t>
      </w:r>
      <w:r w:rsidR="003569EC" w:rsidRPr="003569EC">
        <w:rPr>
          <w:rFonts w:ascii="Arial" w:eastAsia="DINPro" w:hAnsi="Arial" w:cs="Arial"/>
          <w:sz w:val="24"/>
          <w:szCs w:val="24"/>
          <w:lang w:val="et-EE"/>
        </w:rPr>
        <w:t>§ 4</w:t>
      </w:r>
      <w:r w:rsidR="003569EC" w:rsidRPr="003569EC">
        <w:rPr>
          <w:rFonts w:ascii="Arial" w:eastAsia="DINPro" w:hAnsi="Arial" w:cs="Arial"/>
          <w:sz w:val="24"/>
          <w:szCs w:val="24"/>
          <w:vertAlign w:val="superscript"/>
          <w:lang w:val="et-EE"/>
        </w:rPr>
        <w:t xml:space="preserve">1 </w:t>
      </w:r>
      <w:r w:rsidR="003B5AE6" w:rsidRPr="003569EC">
        <w:rPr>
          <w:rFonts w:ascii="Arial" w:eastAsia="DINPro" w:hAnsi="Arial" w:cs="Arial"/>
          <w:sz w:val="24"/>
          <w:szCs w:val="24"/>
          <w:lang w:val="et-EE"/>
        </w:rPr>
        <w:t>lõike</w:t>
      </w:r>
      <w:r w:rsidR="003B5AE6">
        <w:rPr>
          <w:rFonts w:ascii="Arial" w:eastAsia="DINPro" w:hAnsi="Arial" w:cs="Arial"/>
          <w:sz w:val="24"/>
          <w:szCs w:val="24"/>
          <w:lang w:val="et-EE"/>
        </w:rPr>
        <w:t>le</w:t>
      </w:r>
      <w:r w:rsidR="003B5AE6" w:rsidRPr="003569EC">
        <w:rPr>
          <w:rFonts w:ascii="Arial" w:eastAsia="DINPro" w:hAnsi="Arial" w:cs="Arial"/>
          <w:sz w:val="24"/>
          <w:szCs w:val="24"/>
          <w:lang w:val="et-EE"/>
        </w:rPr>
        <w:t xml:space="preserve"> </w:t>
      </w:r>
      <w:r w:rsidR="003569EC" w:rsidRPr="003569EC">
        <w:rPr>
          <w:rFonts w:ascii="Arial" w:eastAsia="DINPro" w:hAnsi="Arial" w:cs="Arial"/>
          <w:sz w:val="24"/>
          <w:szCs w:val="24"/>
          <w:lang w:val="et-EE"/>
        </w:rPr>
        <w:t>1</w:t>
      </w:r>
      <w:r w:rsidR="003569EC">
        <w:rPr>
          <w:rFonts w:ascii="Arial" w:eastAsia="DINPro" w:hAnsi="Arial" w:cs="Arial"/>
          <w:sz w:val="24"/>
          <w:szCs w:val="24"/>
          <w:lang w:val="et-EE"/>
        </w:rPr>
        <w:t xml:space="preserve">, mis samuti ei ole meie hinnangul piisavalt selge. </w:t>
      </w:r>
      <w:r w:rsidR="00EA5730">
        <w:rPr>
          <w:rFonts w:ascii="Arial" w:eastAsia="DINPro" w:hAnsi="Arial" w:cs="Arial"/>
          <w:sz w:val="24"/>
          <w:szCs w:val="24"/>
          <w:lang w:val="et-EE"/>
        </w:rPr>
        <w:t>Küberturvalisuse seaduse § 4</w:t>
      </w:r>
      <w:r w:rsidR="00EA5730" w:rsidRPr="00EA5730">
        <w:rPr>
          <w:rFonts w:ascii="Arial" w:eastAsia="DINPro" w:hAnsi="Arial" w:cs="Arial"/>
          <w:sz w:val="24"/>
          <w:szCs w:val="24"/>
          <w:vertAlign w:val="superscript"/>
          <w:lang w:val="et-EE"/>
        </w:rPr>
        <w:t>1</w:t>
      </w:r>
      <w:r w:rsidR="00EA5730">
        <w:rPr>
          <w:rFonts w:ascii="Arial" w:eastAsia="DINPro" w:hAnsi="Arial" w:cs="Arial"/>
          <w:sz w:val="24"/>
          <w:szCs w:val="24"/>
          <w:lang w:val="et-EE"/>
        </w:rPr>
        <w:t xml:space="preserve"> lg 1 ütleb, </w:t>
      </w:r>
      <w:r w:rsidR="00EA5730">
        <w:rPr>
          <w:rFonts w:ascii="Arial" w:eastAsia="DINPro" w:hAnsi="Arial" w:cs="Arial"/>
          <w:sz w:val="24"/>
          <w:szCs w:val="24"/>
          <w:lang w:val="et-EE"/>
        </w:rPr>
        <w:lastRenderedPageBreak/>
        <w:t xml:space="preserve">et </w:t>
      </w:r>
      <w:r w:rsidR="00EA5730" w:rsidRPr="00EA5730">
        <w:rPr>
          <w:rFonts w:ascii="Arial" w:eastAsia="DINPro" w:hAnsi="Arial" w:cs="Arial"/>
          <w:sz w:val="24"/>
          <w:szCs w:val="24"/>
          <w:lang w:val="et-EE"/>
        </w:rPr>
        <w:t> </w:t>
      </w:r>
      <w:r w:rsidR="00EA5730">
        <w:rPr>
          <w:rFonts w:ascii="Arial" w:eastAsia="DINPro" w:hAnsi="Arial" w:cs="Arial"/>
          <w:sz w:val="24"/>
          <w:szCs w:val="24"/>
          <w:lang w:val="et-EE"/>
        </w:rPr>
        <w:t>„</w:t>
      </w:r>
      <w:r w:rsidR="00EA5730" w:rsidRPr="00EA5730">
        <w:rPr>
          <w:rFonts w:ascii="Arial" w:eastAsia="DINPro" w:hAnsi="Arial" w:cs="Arial"/>
          <w:i/>
          <w:iCs/>
          <w:sz w:val="24"/>
          <w:szCs w:val="24"/>
          <w:lang w:val="et-EE"/>
        </w:rPr>
        <w:t>Teenuseosutaja ja domeeninimede registreerimise teenuse osutaja täidab käesoleva seaduse § 3</w:t>
      </w:r>
      <w:r w:rsidR="00EA5730" w:rsidRPr="00EA5730">
        <w:rPr>
          <w:rFonts w:ascii="Arial" w:eastAsia="DINPro" w:hAnsi="Arial" w:cs="Arial"/>
          <w:i/>
          <w:iCs/>
          <w:sz w:val="24"/>
          <w:szCs w:val="24"/>
          <w:vertAlign w:val="superscript"/>
          <w:lang w:val="et-EE"/>
        </w:rPr>
        <w:t>1</w:t>
      </w:r>
      <w:r w:rsidR="00EA5730" w:rsidRPr="00EA5730">
        <w:rPr>
          <w:rFonts w:ascii="Arial" w:eastAsia="DINPro" w:hAnsi="Arial" w:cs="Arial"/>
          <w:i/>
          <w:iCs/>
          <w:sz w:val="24"/>
          <w:szCs w:val="24"/>
          <w:lang w:val="et-EE"/>
        </w:rPr>
        <w:t> lõikes 1 sätestatud kohustuse kolme kuu jooksul teenuseosutaja või domeeninimede registreerimise teenuse osutaja tunnustele vastavuse tekkimisest arvates</w:t>
      </w:r>
      <w:r w:rsidR="00EA5730">
        <w:rPr>
          <w:rFonts w:ascii="Arial" w:eastAsia="DINPro" w:hAnsi="Arial" w:cs="Arial"/>
          <w:sz w:val="24"/>
          <w:szCs w:val="24"/>
          <w:lang w:val="et-EE"/>
        </w:rPr>
        <w:t>“</w:t>
      </w:r>
      <w:r w:rsidR="00EA5730" w:rsidRPr="00EA5730">
        <w:rPr>
          <w:rFonts w:ascii="Arial" w:eastAsia="DINPro" w:hAnsi="Arial" w:cs="Arial"/>
          <w:sz w:val="24"/>
          <w:szCs w:val="24"/>
          <w:lang w:val="et-EE"/>
        </w:rPr>
        <w:t>.</w:t>
      </w:r>
      <w:r w:rsidR="00EA5730">
        <w:rPr>
          <w:rFonts w:ascii="Arial" w:eastAsia="DINPro" w:hAnsi="Arial" w:cs="Arial"/>
          <w:sz w:val="24"/>
          <w:szCs w:val="24"/>
          <w:lang w:val="et-EE"/>
        </w:rPr>
        <w:t xml:space="preserve"> Kaubanduskoja hinnangul loob antud sättele viitamine segadust, kuna toetuse taotlejal ehk ettevõtjal ei ole selge, kas ta kvalifitseerub toetuse saajaks või mitte. Õigusselguse huvides peab olema toetust soovival ettevõtjal võimalikult lihtsalt mõista, kas tal on õigust toetust </w:t>
      </w:r>
      <w:r w:rsidR="00B1006E">
        <w:rPr>
          <w:rFonts w:ascii="Arial" w:eastAsia="DINPro" w:hAnsi="Arial" w:cs="Arial"/>
          <w:sz w:val="24"/>
          <w:szCs w:val="24"/>
          <w:lang w:val="et-EE"/>
        </w:rPr>
        <w:t xml:space="preserve">taotleda </w:t>
      </w:r>
      <w:r w:rsidR="00EA5730">
        <w:rPr>
          <w:rFonts w:ascii="Arial" w:eastAsia="DINPro" w:hAnsi="Arial" w:cs="Arial"/>
          <w:sz w:val="24"/>
          <w:szCs w:val="24"/>
          <w:lang w:val="et-EE"/>
        </w:rPr>
        <w:t>või mitte.</w:t>
      </w:r>
    </w:p>
    <w:p w14:paraId="4570B20E" w14:textId="48EB361C" w:rsidR="00EA5730" w:rsidRDefault="00EA5730" w:rsidP="00E92041">
      <w:pPr>
        <w:spacing w:before="120" w:after="0" w:line="240" w:lineRule="auto"/>
        <w:ind w:left="1068"/>
        <w:jc w:val="both"/>
        <w:rPr>
          <w:rFonts w:ascii="Arial" w:eastAsia="DINPro" w:hAnsi="Arial" w:cs="Arial"/>
          <w:sz w:val="24"/>
          <w:szCs w:val="24"/>
          <w:lang w:val="et-EE"/>
        </w:rPr>
      </w:pPr>
      <w:r w:rsidRPr="00EA5730">
        <w:rPr>
          <w:rFonts w:ascii="Arial" w:eastAsia="DINPro" w:hAnsi="Arial" w:cs="Arial"/>
          <w:b/>
          <w:bCs/>
          <w:sz w:val="24"/>
          <w:szCs w:val="24"/>
          <w:lang w:val="et-EE"/>
        </w:rPr>
        <w:t>Kaubanduskoja ettepanek:</w:t>
      </w:r>
      <w:r w:rsidRPr="00EA5730">
        <w:rPr>
          <w:rFonts w:ascii="Arial" w:eastAsia="DINPro" w:hAnsi="Arial" w:cs="Arial"/>
          <w:sz w:val="24"/>
          <w:szCs w:val="24"/>
          <w:lang w:val="et-EE"/>
        </w:rPr>
        <w:t xml:space="preserve"> Täpsustada eelnõu § 10 lg 1 sõnastust viisil, mis ütleb üheselt, kas taotlejateks saavad olla üksnes uued kohustatud subjektid või ka olemasolevad</w:t>
      </w:r>
      <w:r>
        <w:rPr>
          <w:rFonts w:ascii="Arial" w:eastAsia="DINPro" w:hAnsi="Arial" w:cs="Arial"/>
          <w:sz w:val="24"/>
          <w:szCs w:val="24"/>
          <w:lang w:val="et-EE"/>
        </w:rPr>
        <w:t xml:space="preserve"> ning mis ettevõtjatel on võimalik toetust </w:t>
      </w:r>
      <w:r w:rsidR="00B1006E">
        <w:rPr>
          <w:rFonts w:ascii="Arial" w:eastAsia="DINPro" w:hAnsi="Arial" w:cs="Arial"/>
          <w:sz w:val="24"/>
          <w:szCs w:val="24"/>
          <w:lang w:val="et-EE"/>
        </w:rPr>
        <w:t>taotleda</w:t>
      </w:r>
      <w:r>
        <w:rPr>
          <w:rFonts w:ascii="Arial" w:eastAsia="DINPro" w:hAnsi="Arial" w:cs="Arial"/>
          <w:sz w:val="24"/>
          <w:szCs w:val="24"/>
          <w:lang w:val="et-EE"/>
        </w:rPr>
        <w:t>.</w:t>
      </w:r>
    </w:p>
    <w:p w14:paraId="2849267C" w14:textId="77777777" w:rsidR="00F30F9F" w:rsidRDefault="00F30F9F" w:rsidP="00E92041">
      <w:pPr>
        <w:spacing w:before="120" w:after="0" w:line="240" w:lineRule="auto"/>
        <w:ind w:left="1068"/>
        <w:jc w:val="both"/>
        <w:rPr>
          <w:rFonts w:ascii="Arial" w:eastAsia="DINPro" w:hAnsi="Arial" w:cs="Arial"/>
          <w:sz w:val="24"/>
          <w:szCs w:val="24"/>
          <w:lang w:val="et-EE"/>
        </w:rPr>
      </w:pPr>
    </w:p>
    <w:p w14:paraId="1F1F7EAC" w14:textId="2F6857BE" w:rsidR="00EA5730" w:rsidRDefault="00EA5730" w:rsidP="00EA5730">
      <w:pPr>
        <w:pStyle w:val="Loendilik"/>
        <w:numPr>
          <w:ilvl w:val="0"/>
          <w:numId w:val="1"/>
        </w:numPr>
        <w:spacing w:before="120" w:after="0" w:line="240" w:lineRule="auto"/>
        <w:jc w:val="both"/>
        <w:rPr>
          <w:rFonts w:ascii="Arial" w:eastAsia="DINPro" w:hAnsi="Arial" w:cs="Arial"/>
          <w:b/>
          <w:bCs/>
          <w:sz w:val="24"/>
          <w:szCs w:val="24"/>
          <w:lang w:val="et-EE"/>
        </w:rPr>
      </w:pPr>
      <w:r w:rsidRPr="00EA5730">
        <w:rPr>
          <w:rFonts w:ascii="Arial" w:eastAsia="DINPro" w:hAnsi="Arial" w:cs="Arial"/>
          <w:b/>
          <w:bCs/>
          <w:sz w:val="24"/>
          <w:szCs w:val="24"/>
          <w:lang w:val="et-EE"/>
        </w:rPr>
        <w:t>Üldised kommentaarid</w:t>
      </w:r>
    </w:p>
    <w:p w14:paraId="420EB0CA" w14:textId="0287AD3D" w:rsidR="00EA5730" w:rsidRPr="00E92041" w:rsidRDefault="00EA5730" w:rsidP="00E92041">
      <w:pPr>
        <w:pStyle w:val="Loendilik"/>
        <w:numPr>
          <w:ilvl w:val="1"/>
          <w:numId w:val="1"/>
        </w:numPr>
        <w:spacing w:before="120" w:after="0" w:line="240" w:lineRule="auto"/>
        <w:jc w:val="both"/>
        <w:rPr>
          <w:rFonts w:ascii="Arial" w:eastAsia="DINPro" w:hAnsi="Arial" w:cs="Arial"/>
          <w:sz w:val="24"/>
          <w:szCs w:val="24"/>
          <w:lang w:val="et-EE"/>
        </w:rPr>
      </w:pPr>
      <w:r w:rsidRPr="00E92041">
        <w:rPr>
          <w:rFonts w:ascii="Arial" w:eastAsia="DINPro" w:hAnsi="Arial" w:cs="Arial"/>
          <w:sz w:val="24"/>
          <w:szCs w:val="24"/>
          <w:lang w:val="et-EE"/>
        </w:rPr>
        <w:t xml:space="preserve">Juhime tähelepanu, et eelnõu ja seletuskirja vahel on mitmeid ebakõlasid ja valesid viiteid. Näiteks on eelnõu seletuskirja lk-l 6 peale § 7 lg 3 p 5 selgitus eelnõu § 4 lg 4 kohta, mis tegelikult peaks olema eelnõu § 7 lg 4. </w:t>
      </w:r>
    </w:p>
    <w:p w14:paraId="47A42BFE" w14:textId="00B93A65" w:rsidR="00E92041" w:rsidRPr="00E92041" w:rsidRDefault="00E92041" w:rsidP="00E92041">
      <w:pPr>
        <w:pStyle w:val="Loendilik"/>
        <w:numPr>
          <w:ilvl w:val="1"/>
          <w:numId w:val="1"/>
        </w:numPr>
        <w:spacing w:before="120" w:after="0" w:line="240" w:lineRule="auto"/>
        <w:jc w:val="both"/>
        <w:rPr>
          <w:rFonts w:ascii="Arial" w:eastAsia="DINPro" w:hAnsi="Arial" w:cs="Arial"/>
          <w:sz w:val="24"/>
          <w:szCs w:val="24"/>
          <w:lang w:val="et-EE"/>
        </w:rPr>
      </w:pPr>
      <w:r w:rsidRPr="00E92041">
        <w:rPr>
          <w:rFonts w:ascii="Arial" w:eastAsia="DINPro" w:hAnsi="Arial" w:cs="Arial"/>
          <w:sz w:val="24"/>
          <w:szCs w:val="24"/>
          <w:lang w:val="et-EE"/>
        </w:rPr>
        <w:t>Samuti on eelnõu § 15 lg 1 kirjas, et „</w:t>
      </w:r>
      <w:r w:rsidRPr="00E92041">
        <w:rPr>
          <w:rFonts w:ascii="Arial" w:eastAsia="DINPro" w:hAnsi="Arial" w:cs="Arial"/>
          <w:i/>
          <w:iCs/>
          <w:sz w:val="24"/>
          <w:szCs w:val="24"/>
          <w:lang w:val="et-EE"/>
        </w:rPr>
        <w:t xml:space="preserve">Kui taotleja ja § 3 lõike 1 punktis 2 nimetatud tegevuse toetuse /…/I“, </w:t>
      </w:r>
      <w:r w:rsidRPr="00E92041">
        <w:rPr>
          <w:rFonts w:ascii="Arial" w:eastAsia="DINPro" w:hAnsi="Arial" w:cs="Arial"/>
          <w:sz w:val="24"/>
          <w:szCs w:val="24"/>
          <w:lang w:val="et-EE"/>
        </w:rPr>
        <w:t>kuid seletuskirja lk-l 12 on kirjas, et</w:t>
      </w:r>
      <w:r w:rsidRPr="00E92041">
        <w:rPr>
          <w:rFonts w:ascii="Arial" w:eastAsia="DINPro" w:hAnsi="Arial" w:cs="Arial"/>
          <w:i/>
          <w:iCs/>
          <w:sz w:val="24"/>
          <w:szCs w:val="24"/>
          <w:lang w:val="et-EE"/>
        </w:rPr>
        <w:t xml:space="preserve"> „Paragrahvi 15 lõike 1 kohaselt hinnatakse § 6 lõike 1 punktides 2 ja 3 nimetatud tegevuste toetuse“. </w:t>
      </w:r>
      <w:r w:rsidRPr="00E92041">
        <w:rPr>
          <w:rFonts w:ascii="Arial" w:eastAsia="DINPro" w:hAnsi="Arial" w:cs="Arial"/>
          <w:sz w:val="24"/>
          <w:szCs w:val="24"/>
          <w:lang w:val="et-EE"/>
        </w:rPr>
        <w:t xml:space="preserve">Palume eelnõus olev viide parandada. </w:t>
      </w:r>
    </w:p>
    <w:p w14:paraId="7A28E88C" w14:textId="3C47689F" w:rsidR="00E92041" w:rsidRPr="003A6791" w:rsidRDefault="00E92041" w:rsidP="00E92041">
      <w:pPr>
        <w:pStyle w:val="Loendilik"/>
        <w:numPr>
          <w:ilvl w:val="1"/>
          <w:numId w:val="1"/>
        </w:numPr>
        <w:spacing w:before="120" w:after="0" w:line="240" w:lineRule="auto"/>
        <w:jc w:val="both"/>
        <w:rPr>
          <w:rFonts w:ascii="Arial" w:eastAsia="DINPro" w:hAnsi="Arial" w:cs="Arial"/>
          <w:sz w:val="24"/>
          <w:szCs w:val="24"/>
          <w:lang w:val="et-EE"/>
        </w:rPr>
      </w:pPr>
      <w:r w:rsidRPr="003A6791">
        <w:rPr>
          <w:rFonts w:ascii="Arial" w:eastAsia="DINPro" w:hAnsi="Arial" w:cs="Arial"/>
          <w:sz w:val="24"/>
          <w:szCs w:val="24"/>
          <w:lang w:val="et-EE"/>
        </w:rPr>
        <w:t>Lisaks märgime, et eelnõu § 3 lg 2 määratleb teekaardi koostajana eksperdi, kellel on „põhjalikud teadmised ja kogemused“. Samas ei ole eelnõus eksperti täpsemalt defineeritud ega eksperdile nõutavaid tingimusi eelnõus sätestatud. Seega palume eelnõus sätestada konkreetsed sisulised kvalifikatsiooninõuded eksperdile.</w:t>
      </w:r>
    </w:p>
    <w:p w14:paraId="6FDEEF10" w14:textId="1D12D219" w:rsidR="00E92041" w:rsidRPr="003A6791" w:rsidRDefault="00E92041" w:rsidP="00E92041">
      <w:pPr>
        <w:pStyle w:val="Loendilik"/>
        <w:numPr>
          <w:ilvl w:val="1"/>
          <w:numId w:val="1"/>
        </w:numPr>
        <w:spacing w:before="120" w:after="0" w:line="240" w:lineRule="auto"/>
        <w:jc w:val="both"/>
        <w:rPr>
          <w:rFonts w:ascii="Arial" w:eastAsia="DINPro" w:hAnsi="Arial" w:cs="Arial"/>
          <w:sz w:val="24"/>
          <w:szCs w:val="24"/>
          <w:lang w:val="et-EE"/>
        </w:rPr>
      </w:pPr>
      <w:r w:rsidRPr="003A6791">
        <w:rPr>
          <w:rFonts w:ascii="Arial" w:eastAsia="DINPro" w:hAnsi="Arial" w:cs="Arial"/>
          <w:sz w:val="24"/>
          <w:szCs w:val="24"/>
          <w:lang w:val="et-EE"/>
        </w:rPr>
        <w:t xml:space="preserve">Muuhulgad eelnõu § 3 lg 1 ütleb, et </w:t>
      </w:r>
      <w:r w:rsidRPr="003A6791">
        <w:rPr>
          <w:rFonts w:ascii="Arial" w:eastAsia="DINPro" w:hAnsi="Arial" w:cs="Arial"/>
          <w:i/>
          <w:iCs/>
          <w:sz w:val="24"/>
          <w:szCs w:val="24"/>
          <w:lang w:val="et-EE"/>
        </w:rPr>
        <w:t xml:space="preserve">“/…/ teekaardi koostamisel võib olenevalt taotleja </w:t>
      </w:r>
      <w:proofErr w:type="spellStart"/>
      <w:r w:rsidRPr="003A6791">
        <w:rPr>
          <w:rFonts w:ascii="Arial" w:eastAsia="DINPro" w:hAnsi="Arial" w:cs="Arial"/>
          <w:i/>
          <w:iCs/>
          <w:sz w:val="24"/>
          <w:szCs w:val="24"/>
          <w:lang w:val="et-EE"/>
        </w:rPr>
        <w:t>küberturbe</w:t>
      </w:r>
      <w:proofErr w:type="spellEnd"/>
      <w:r w:rsidRPr="003A6791">
        <w:rPr>
          <w:rFonts w:ascii="Arial" w:eastAsia="DINPro" w:hAnsi="Arial" w:cs="Arial"/>
          <w:i/>
          <w:iCs/>
          <w:sz w:val="24"/>
          <w:szCs w:val="24"/>
          <w:lang w:val="et-EE"/>
        </w:rPr>
        <w:t xml:space="preserve"> taseme hetkesesisust ja soovist lähtuda minimaalsete meetmete, esmaste turvameetmete, Eesti infoturbestandardi, ISO 27001 või muu standardi nõuetest. Teekaardi koostamisel tuleb tugineda käesoleva määruse alusel koostatud ning Ettevõtluse ja Innovatsiooni Sihtasutuse kodulehel avaldatud </w:t>
      </w:r>
      <w:proofErr w:type="spellStart"/>
      <w:r w:rsidRPr="003A6791">
        <w:rPr>
          <w:rFonts w:ascii="Arial" w:eastAsia="DINPro" w:hAnsi="Arial" w:cs="Arial"/>
          <w:i/>
          <w:iCs/>
          <w:sz w:val="24"/>
          <w:szCs w:val="24"/>
          <w:lang w:val="et-EE"/>
        </w:rPr>
        <w:t>küberturbe</w:t>
      </w:r>
      <w:proofErr w:type="spellEnd"/>
      <w:r w:rsidRPr="003A6791">
        <w:rPr>
          <w:rFonts w:ascii="Arial" w:eastAsia="DINPro" w:hAnsi="Arial" w:cs="Arial"/>
          <w:i/>
          <w:iCs/>
          <w:sz w:val="24"/>
          <w:szCs w:val="24"/>
          <w:lang w:val="et-EE"/>
        </w:rPr>
        <w:t xml:space="preserve"> taseme tõstmise teekaardi metoodikale (edaspidi metoodika) ja näidisvormile</w:t>
      </w:r>
      <w:r w:rsidRPr="003A6791">
        <w:rPr>
          <w:rFonts w:ascii="Arial" w:eastAsia="DINPro" w:hAnsi="Arial" w:cs="Arial"/>
          <w:sz w:val="24"/>
          <w:szCs w:val="24"/>
          <w:lang w:val="et-EE"/>
        </w:rPr>
        <w:t xml:space="preserve">”. Seega viitab säte määruse alusel koostatud ning Ettevõtluse ja Innovatsiooni Sihtasutuse kodulehel avaldatud </w:t>
      </w:r>
      <w:proofErr w:type="spellStart"/>
      <w:r w:rsidRPr="003A6791">
        <w:rPr>
          <w:rFonts w:ascii="Arial" w:eastAsia="DINPro" w:hAnsi="Arial" w:cs="Arial"/>
          <w:sz w:val="24"/>
          <w:szCs w:val="24"/>
          <w:lang w:val="et-EE"/>
        </w:rPr>
        <w:t>küberturbe</w:t>
      </w:r>
      <w:proofErr w:type="spellEnd"/>
      <w:r w:rsidRPr="003A6791">
        <w:rPr>
          <w:rFonts w:ascii="Arial" w:eastAsia="DINPro" w:hAnsi="Arial" w:cs="Arial"/>
          <w:sz w:val="24"/>
          <w:szCs w:val="24"/>
          <w:lang w:val="et-EE"/>
        </w:rPr>
        <w:t xml:space="preserve"> taseme tõstmise teekaardi metoodikale ja näidisvormile. Soovime täpsustada, kas antud metoodika on juba loodud või luuake. Samuti soovime teada, kus ning millal on metoodikaga võimalik tutvuda. </w:t>
      </w:r>
    </w:p>
    <w:p w14:paraId="04D68A9E" w14:textId="5F639E56" w:rsidR="00BD7E12" w:rsidRPr="003A6791" w:rsidRDefault="00BD7E12" w:rsidP="00BD7E12">
      <w:pPr>
        <w:spacing w:before="120" w:after="0" w:line="240" w:lineRule="auto"/>
        <w:jc w:val="both"/>
        <w:rPr>
          <w:rFonts w:ascii="Arial" w:eastAsia="DINPro" w:hAnsi="Arial" w:cs="Arial"/>
          <w:sz w:val="24"/>
          <w:szCs w:val="24"/>
          <w:lang w:val="et-EE"/>
        </w:rPr>
      </w:pPr>
    </w:p>
    <w:p w14:paraId="4D2F8FF9" w14:textId="77777777" w:rsidR="00BD7E12" w:rsidRPr="00AA62A5" w:rsidRDefault="00BD7E12" w:rsidP="00BD7E12">
      <w:pPr>
        <w:spacing w:before="120" w:after="0" w:line="240" w:lineRule="auto"/>
        <w:jc w:val="both"/>
        <w:rPr>
          <w:rFonts w:ascii="Arial" w:eastAsia="DINPro" w:hAnsi="Arial" w:cs="Arial"/>
          <w:sz w:val="24"/>
          <w:szCs w:val="24"/>
          <w:lang w:val="et-EE"/>
        </w:rPr>
      </w:pPr>
    </w:p>
    <w:p w14:paraId="34B317AD" w14:textId="77777777" w:rsidR="00BD7E12" w:rsidRPr="002F1E7F" w:rsidRDefault="00BD7E12" w:rsidP="00BD7E12">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55A027FB" w14:textId="77777777" w:rsidR="00BD7E12" w:rsidRPr="002F1E7F" w:rsidRDefault="00BD7E12" w:rsidP="00BD7E12">
      <w:pPr>
        <w:spacing w:after="0" w:line="240" w:lineRule="auto"/>
        <w:rPr>
          <w:rFonts w:ascii="Arial" w:hAnsi="Arial" w:cs="Arial"/>
          <w:sz w:val="24"/>
          <w:szCs w:val="24"/>
          <w:lang w:val="et-EE" w:eastAsia="et-EE"/>
        </w:rPr>
      </w:pPr>
    </w:p>
    <w:p w14:paraId="7C2AA3BE" w14:textId="77777777" w:rsidR="00BD7E12" w:rsidRDefault="00BD7E12" w:rsidP="00BD7E12">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0AD8AEE1" w14:textId="77777777" w:rsidR="00BD7E12" w:rsidRPr="002F1E7F" w:rsidRDefault="00BD7E12" w:rsidP="00BD7E12">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35B9B525" w14:textId="77777777" w:rsidR="00BD7E12" w:rsidRPr="002F1E7F" w:rsidRDefault="00BD7E12" w:rsidP="00BD7E12">
      <w:pPr>
        <w:spacing w:after="0" w:line="240" w:lineRule="auto"/>
        <w:rPr>
          <w:rFonts w:ascii="Arial" w:hAnsi="Arial" w:cs="Arial"/>
          <w:sz w:val="24"/>
          <w:szCs w:val="24"/>
          <w:lang w:val="et-EE" w:eastAsia="et-EE"/>
        </w:rPr>
      </w:pPr>
      <w:r>
        <w:rPr>
          <w:rFonts w:ascii="Arial" w:hAnsi="Arial" w:cs="Arial"/>
          <w:sz w:val="24"/>
          <w:szCs w:val="24"/>
          <w:lang w:val="et-EE" w:eastAsia="et-EE"/>
        </w:rPr>
        <w:t>Eesti Kaubandus-Tööstuskoja p</w:t>
      </w:r>
      <w:r w:rsidRPr="002F1E7F">
        <w:rPr>
          <w:rFonts w:ascii="Arial" w:hAnsi="Arial" w:cs="Arial"/>
          <w:sz w:val="24"/>
          <w:szCs w:val="24"/>
          <w:lang w:val="et-EE" w:eastAsia="et-EE"/>
        </w:rPr>
        <w:t>eadirektor</w:t>
      </w:r>
    </w:p>
    <w:p w14:paraId="30672A41" w14:textId="77777777" w:rsidR="00BD7E12" w:rsidRPr="002F1E7F" w:rsidRDefault="00BD7E12" w:rsidP="00BD7E12">
      <w:pPr>
        <w:spacing w:after="0" w:line="240" w:lineRule="auto"/>
        <w:rPr>
          <w:rFonts w:ascii="Arial" w:hAnsi="Arial" w:cs="Arial"/>
          <w:sz w:val="24"/>
          <w:szCs w:val="24"/>
          <w:lang w:val="et-EE" w:eastAsia="et-EE"/>
        </w:rPr>
      </w:pPr>
    </w:p>
    <w:p w14:paraId="00CCC2FA" w14:textId="77777777" w:rsidR="00BD7E12" w:rsidRPr="002F1E7F" w:rsidRDefault="00BD7E12" w:rsidP="00BD7E12">
      <w:pPr>
        <w:spacing w:after="0" w:line="240" w:lineRule="auto"/>
        <w:rPr>
          <w:rFonts w:ascii="Arial" w:hAnsi="Arial" w:cs="Arial"/>
          <w:sz w:val="24"/>
          <w:szCs w:val="24"/>
          <w:lang w:val="et-EE" w:eastAsia="et-EE"/>
        </w:rPr>
      </w:pPr>
    </w:p>
    <w:p w14:paraId="4A60AF9C" w14:textId="77777777" w:rsidR="00BD7E12" w:rsidRDefault="00BD7E12" w:rsidP="00BD7E12">
      <w:pPr>
        <w:spacing w:after="0" w:line="240" w:lineRule="auto"/>
        <w:rPr>
          <w:rFonts w:ascii="Arial" w:hAnsi="Arial" w:cs="Arial"/>
          <w:sz w:val="24"/>
          <w:szCs w:val="24"/>
          <w:lang w:val="et-EE" w:eastAsia="et-EE"/>
        </w:rPr>
      </w:pPr>
    </w:p>
    <w:p w14:paraId="7A3DD5C0" w14:textId="77777777" w:rsidR="00BD7E12" w:rsidRDefault="00BD7E12" w:rsidP="00BD7E12">
      <w:pPr>
        <w:spacing w:after="0" w:line="240" w:lineRule="auto"/>
        <w:rPr>
          <w:rFonts w:ascii="Arial" w:hAnsi="Arial" w:cs="Arial"/>
          <w:sz w:val="24"/>
          <w:szCs w:val="24"/>
          <w:lang w:val="et-EE" w:eastAsia="et-EE"/>
        </w:rPr>
      </w:pPr>
    </w:p>
    <w:p w14:paraId="313E2980" w14:textId="77777777" w:rsidR="00BD7E12" w:rsidRPr="002F1E7F" w:rsidRDefault="00BD7E12" w:rsidP="00BD7E12">
      <w:pPr>
        <w:spacing w:after="0" w:line="240" w:lineRule="auto"/>
        <w:rPr>
          <w:rFonts w:ascii="Arial" w:hAnsi="Arial" w:cs="Arial"/>
          <w:sz w:val="24"/>
          <w:szCs w:val="24"/>
          <w:lang w:val="et-EE" w:eastAsia="et-EE"/>
        </w:rPr>
      </w:pPr>
    </w:p>
    <w:p w14:paraId="38CAEBFE" w14:textId="77777777" w:rsidR="00BD7E12" w:rsidRPr="002F1E7F" w:rsidRDefault="00BD7E12" w:rsidP="00BD7E12">
      <w:pPr>
        <w:spacing w:after="0" w:line="240" w:lineRule="auto"/>
        <w:rPr>
          <w:rFonts w:ascii="Arial" w:hAnsi="Arial" w:cs="Arial"/>
          <w:sz w:val="24"/>
          <w:szCs w:val="24"/>
          <w:lang w:val="et-EE" w:eastAsia="et-EE"/>
        </w:rPr>
      </w:pPr>
    </w:p>
    <w:p w14:paraId="5BCC369B" w14:textId="77777777" w:rsidR="00BD7E12" w:rsidRPr="002F1E7F" w:rsidRDefault="00BD7E12" w:rsidP="00BD7E12">
      <w:pPr>
        <w:spacing w:after="0" w:line="240" w:lineRule="auto"/>
        <w:rPr>
          <w:rFonts w:ascii="Arial" w:hAnsi="Arial" w:cs="Arial"/>
          <w:sz w:val="24"/>
          <w:szCs w:val="24"/>
          <w:lang w:val="et-EE" w:eastAsia="et-EE"/>
        </w:rPr>
      </w:pPr>
    </w:p>
    <w:p w14:paraId="4457AF27" w14:textId="77777777" w:rsidR="00BD7E12" w:rsidRPr="002F1E7F" w:rsidRDefault="00BD7E12" w:rsidP="00BD7E12">
      <w:pPr>
        <w:spacing w:after="0" w:line="240" w:lineRule="auto"/>
        <w:rPr>
          <w:rFonts w:ascii="Arial" w:hAnsi="Arial" w:cs="Arial"/>
          <w:sz w:val="24"/>
          <w:szCs w:val="24"/>
          <w:lang w:val="et-EE" w:eastAsia="et-EE"/>
        </w:rPr>
      </w:pPr>
    </w:p>
    <w:p w14:paraId="4876DE4E" w14:textId="1C4F7485" w:rsidR="00BD7E12" w:rsidRDefault="00BD7E12" w:rsidP="00BD7E12">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3E02E222" w14:textId="70A7D7E4" w:rsidR="00BD7E12" w:rsidRDefault="00BD7E12" w:rsidP="00BD7E12">
      <w:pPr>
        <w:spacing w:after="0" w:line="240" w:lineRule="auto"/>
        <w:rPr>
          <w:rFonts w:ascii="Arial" w:hAnsi="Arial" w:cs="Arial"/>
          <w:sz w:val="24"/>
          <w:szCs w:val="24"/>
          <w:lang w:val="et-EE" w:eastAsia="et-EE"/>
        </w:rPr>
      </w:pPr>
      <w:hyperlink r:id="rId9" w:history="1">
        <w:r w:rsidRPr="0091532B">
          <w:rPr>
            <w:rStyle w:val="H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133B42D6" w14:textId="77777777" w:rsidR="00BD7E12" w:rsidRDefault="00BD7E12" w:rsidP="00BD7E12">
      <w:pPr>
        <w:spacing w:after="0" w:line="240" w:lineRule="auto"/>
        <w:rPr>
          <w:rFonts w:ascii="Arial" w:hAnsi="Arial" w:cs="Arial"/>
          <w:sz w:val="24"/>
          <w:szCs w:val="24"/>
          <w:lang w:val="et-EE" w:eastAsia="et-EE"/>
        </w:rPr>
      </w:pPr>
    </w:p>
    <w:p w14:paraId="637FBFD1" w14:textId="77777777" w:rsidR="00BD7E12" w:rsidRDefault="00BD7E12" w:rsidP="00BD7E12">
      <w:pPr>
        <w:spacing w:after="0" w:line="240" w:lineRule="auto"/>
        <w:rPr>
          <w:rFonts w:ascii="Arial" w:hAnsi="Arial" w:cs="Arial"/>
          <w:sz w:val="24"/>
          <w:szCs w:val="24"/>
          <w:lang w:val="et-EE" w:eastAsia="et-EE"/>
        </w:rPr>
      </w:pPr>
    </w:p>
    <w:p w14:paraId="36EE97FB" w14:textId="77777777" w:rsidR="00BD7E12" w:rsidRDefault="00BD7E12" w:rsidP="00BD7E12">
      <w:pPr>
        <w:spacing w:after="0" w:line="240" w:lineRule="auto"/>
        <w:rPr>
          <w:rFonts w:ascii="Arial" w:hAnsi="Arial" w:cs="Arial"/>
          <w:sz w:val="24"/>
          <w:szCs w:val="24"/>
          <w:lang w:val="et-EE" w:eastAsia="et-EE"/>
        </w:rPr>
      </w:pPr>
    </w:p>
    <w:p w14:paraId="7A4956F7" w14:textId="77777777" w:rsidR="00BD7E12" w:rsidRDefault="00BD7E12" w:rsidP="00BD7E12">
      <w:pPr>
        <w:spacing w:after="0" w:line="240" w:lineRule="auto"/>
        <w:rPr>
          <w:rFonts w:ascii="Arial" w:hAnsi="Arial" w:cs="Arial"/>
          <w:sz w:val="24"/>
          <w:szCs w:val="24"/>
          <w:lang w:val="et-EE" w:eastAsia="et-EE"/>
        </w:rPr>
      </w:pPr>
    </w:p>
    <w:p w14:paraId="6A9A3950" w14:textId="77777777" w:rsidR="00BD7E12" w:rsidRDefault="00BD7E12" w:rsidP="00BD7E12">
      <w:pPr>
        <w:spacing w:after="0" w:line="240" w:lineRule="auto"/>
        <w:rPr>
          <w:rFonts w:ascii="Arial" w:hAnsi="Arial" w:cs="Arial"/>
          <w:sz w:val="24"/>
          <w:szCs w:val="24"/>
          <w:lang w:val="et-EE" w:eastAsia="et-EE"/>
        </w:rPr>
      </w:pPr>
    </w:p>
    <w:p w14:paraId="3995AE5F" w14:textId="77777777" w:rsidR="00BD7E12" w:rsidRDefault="00BD7E12" w:rsidP="00BD7E12">
      <w:pPr>
        <w:spacing w:after="0" w:line="240" w:lineRule="auto"/>
        <w:rPr>
          <w:rStyle w:val="Hperlink"/>
          <w:rFonts w:ascii="Arial" w:hAnsi="Arial" w:cs="Arial"/>
          <w:sz w:val="24"/>
          <w:szCs w:val="24"/>
          <w:lang w:val="et-EE" w:eastAsia="et-EE"/>
        </w:rPr>
      </w:pPr>
    </w:p>
    <w:p w14:paraId="52934583" w14:textId="77777777" w:rsidR="00BD7E12" w:rsidRDefault="00BD7E12"/>
    <w:sectPr w:rsidR="00BD7E12" w:rsidSect="00BD7E12">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3B97" w14:textId="77777777" w:rsidR="00AE2F39" w:rsidRDefault="00AE2F39">
      <w:pPr>
        <w:spacing w:after="0" w:line="240" w:lineRule="auto"/>
      </w:pPr>
      <w:r>
        <w:separator/>
      </w:r>
    </w:p>
  </w:endnote>
  <w:endnote w:type="continuationSeparator" w:id="0">
    <w:p w14:paraId="22CFDBD6" w14:textId="77777777" w:rsidR="00AE2F39" w:rsidRDefault="00AE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56D2" w14:textId="77777777" w:rsidR="00BD7E12" w:rsidRPr="00E7418C" w:rsidRDefault="00BD7E12" w:rsidP="00E7418C">
    <w:pPr>
      <w:pStyle w:val="Jalus"/>
      <w:rPr>
        <w:rFonts w:ascii="Arial" w:hAnsi="Arial" w:cs="Arial"/>
        <w:b/>
        <w:sz w:val="14"/>
        <w:szCs w:val="14"/>
      </w:rPr>
    </w:pPr>
    <w:r w:rsidRPr="00E7418C">
      <w:rPr>
        <w:rFonts w:ascii="Arial" w:hAnsi="Arial" w:cs="Arial"/>
        <w:b/>
        <w:sz w:val="14"/>
        <w:szCs w:val="14"/>
      </w:rPr>
      <w:t>EESTI KAUBANDUS-TÖÖSTUSKODA</w:t>
    </w:r>
  </w:p>
  <w:p w14:paraId="3965A8DB" w14:textId="77777777" w:rsidR="00BD7E12" w:rsidRPr="00E7418C" w:rsidRDefault="00BD7E12"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9E71" w14:textId="77777777" w:rsidR="00BD7E12" w:rsidRPr="00BF3929" w:rsidRDefault="00BD7E12"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027417BE" w14:textId="77777777" w:rsidR="00BD7E12" w:rsidRPr="00BF3929" w:rsidRDefault="00BD7E12"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0D04" w14:textId="77777777" w:rsidR="00AE2F39" w:rsidRDefault="00AE2F39">
      <w:pPr>
        <w:spacing w:after="0" w:line="240" w:lineRule="auto"/>
      </w:pPr>
      <w:r>
        <w:separator/>
      </w:r>
    </w:p>
  </w:footnote>
  <w:footnote w:type="continuationSeparator" w:id="0">
    <w:p w14:paraId="1DF26E6A" w14:textId="77777777" w:rsidR="00AE2F39" w:rsidRDefault="00AE2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331A" w14:textId="77777777" w:rsidR="00BD7E12" w:rsidRPr="00C0691C" w:rsidRDefault="00BD7E12" w:rsidP="00C0691C">
    <w:pPr>
      <w:pStyle w:val="Pis"/>
    </w:pPr>
    <w:r>
      <w:rPr>
        <w:noProof/>
      </w:rPr>
      <w:drawing>
        <wp:inline distT="0" distB="0" distL="0" distR="0" wp14:anchorId="5BEA8C62" wp14:editId="50187506">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93B4" w14:textId="77777777" w:rsidR="00BD7E12" w:rsidRDefault="00BD7E12">
    <w:pPr>
      <w:pStyle w:val="Pis"/>
    </w:pPr>
    <w:r>
      <w:rPr>
        <w:noProof/>
      </w:rPr>
      <w:drawing>
        <wp:inline distT="0" distB="0" distL="0" distR="0" wp14:anchorId="1131E069" wp14:editId="417ADEAE">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15204"/>
    <w:multiLevelType w:val="multilevel"/>
    <w:tmpl w:val="92C63B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2453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12"/>
    <w:rsid w:val="000534C9"/>
    <w:rsid w:val="00351892"/>
    <w:rsid w:val="003569EC"/>
    <w:rsid w:val="00360B57"/>
    <w:rsid w:val="003A6791"/>
    <w:rsid w:val="003B5AE6"/>
    <w:rsid w:val="00AE2F39"/>
    <w:rsid w:val="00B1006E"/>
    <w:rsid w:val="00BD7E12"/>
    <w:rsid w:val="00C8286C"/>
    <w:rsid w:val="00E2468F"/>
    <w:rsid w:val="00E92041"/>
    <w:rsid w:val="00EA5730"/>
    <w:rsid w:val="00EC3D40"/>
    <w:rsid w:val="00ED0907"/>
    <w:rsid w:val="00F30F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78E6"/>
  <w15:chartTrackingRefBased/>
  <w15:docId w15:val="{89941CC9-B106-43B8-81B1-D07ACAB0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D7E12"/>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BD7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D7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D7E1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D7E1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D7E1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D7E1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D7E1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D7E1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D7E1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D7E1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D7E1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D7E1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D7E1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D7E1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D7E1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D7E1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D7E1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D7E1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D7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D7E1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D7E1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D7E1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D7E12"/>
    <w:pPr>
      <w:spacing w:before="160"/>
      <w:jc w:val="center"/>
    </w:pPr>
    <w:rPr>
      <w:i/>
      <w:iCs/>
      <w:color w:val="404040" w:themeColor="text1" w:themeTint="BF"/>
    </w:rPr>
  </w:style>
  <w:style w:type="character" w:customStyle="1" w:styleId="TsitaatMrk">
    <w:name w:val="Tsitaat Märk"/>
    <w:basedOn w:val="Liguvaikefont"/>
    <w:link w:val="Tsitaat"/>
    <w:uiPriority w:val="29"/>
    <w:rsid w:val="00BD7E12"/>
    <w:rPr>
      <w:i/>
      <w:iCs/>
      <w:color w:val="404040" w:themeColor="text1" w:themeTint="BF"/>
    </w:rPr>
  </w:style>
  <w:style w:type="paragraph" w:styleId="Loendilik">
    <w:name w:val="List Paragraph"/>
    <w:basedOn w:val="Normaallaad"/>
    <w:uiPriority w:val="34"/>
    <w:qFormat/>
    <w:rsid w:val="00BD7E12"/>
    <w:pPr>
      <w:ind w:left="720"/>
      <w:contextualSpacing/>
    </w:pPr>
  </w:style>
  <w:style w:type="character" w:styleId="Selgeltmrgatavrhutus">
    <w:name w:val="Intense Emphasis"/>
    <w:basedOn w:val="Liguvaikefont"/>
    <w:uiPriority w:val="21"/>
    <w:qFormat/>
    <w:rsid w:val="00BD7E12"/>
    <w:rPr>
      <w:i/>
      <w:iCs/>
      <w:color w:val="0F4761" w:themeColor="accent1" w:themeShade="BF"/>
    </w:rPr>
  </w:style>
  <w:style w:type="paragraph" w:styleId="Selgeltmrgatavtsitaat">
    <w:name w:val="Intense Quote"/>
    <w:basedOn w:val="Normaallaad"/>
    <w:next w:val="Normaallaad"/>
    <w:link w:val="SelgeltmrgatavtsitaatMrk"/>
    <w:uiPriority w:val="30"/>
    <w:qFormat/>
    <w:rsid w:val="00BD7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D7E12"/>
    <w:rPr>
      <w:i/>
      <w:iCs/>
      <w:color w:val="0F4761" w:themeColor="accent1" w:themeShade="BF"/>
    </w:rPr>
  </w:style>
  <w:style w:type="character" w:styleId="Selgeltmrgatavviide">
    <w:name w:val="Intense Reference"/>
    <w:basedOn w:val="Liguvaikefont"/>
    <w:uiPriority w:val="32"/>
    <w:qFormat/>
    <w:rsid w:val="00BD7E12"/>
    <w:rPr>
      <w:b/>
      <w:bCs/>
      <w:smallCaps/>
      <w:color w:val="0F4761" w:themeColor="accent1" w:themeShade="BF"/>
      <w:spacing w:val="5"/>
    </w:rPr>
  </w:style>
  <w:style w:type="paragraph" w:styleId="Pis">
    <w:name w:val="header"/>
    <w:basedOn w:val="Normaallaad"/>
    <w:link w:val="PisMrk"/>
    <w:uiPriority w:val="99"/>
    <w:unhideWhenUsed/>
    <w:rsid w:val="00BD7E12"/>
    <w:pPr>
      <w:tabs>
        <w:tab w:val="center" w:pos="4680"/>
        <w:tab w:val="right" w:pos="9360"/>
      </w:tabs>
      <w:spacing w:after="0" w:line="240" w:lineRule="auto"/>
    </w:pPr>
  </w:style>
  <w:style w:type="character" w:customStyle="1" w:styleId="PisMrk">
    <w:name w:val="Päis Märk"/>
    <w:basedOn w:val="Liguvaikefont"/>
    <w:link w:val="Pis"/>
    <w:uiPriority w:val="99"/>
    <w:rsid w:val="00BD7E12"/>
    <w:rPr>
      <w:kern w:val="0"/>
      <w:sz w:val="22"/>
      <w:szCs w:val="22"/>
      <w:lang w:val="en-US"/>
      <w14:ligatures w14:val="none"/>
    </w:rPr>
  </w:style>
  <w:style w:type="paragraph" w:styleId="Jalus">
    <w:name w:val="footer"/>
    <w:basedOn w:val="Normaallaad"/>
    <w:link w:val="JalusMrk"/>
    <w:uiPriority w:val="99"/>
    <w:unhideWhenUsed/>
    <w:rsid w:val="00BD7E12"/>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BD7E12"/>
    <w:rPr>
      <w:kern w:val="0"/>
      <w:sz w:val="16"/>
      <w:szCs w:val="22"/>
      <w:lang w:val="en-US"/>
      <w14:ligatures w14:val="none"/>
    </w:rPr>
  </w:style>
  <w:style w:type="character" w:styleId="Hperlink">
    <w:name w:val="Hyperlink"/>
    <w:basedOn w:val="Liguvaikefont"/>
    <w:uiPriority w:val="99"/>
    <w:unhideWhenUsed/>
    <w:rsid w:val="00BD7E12"/>
    <w:rPr>
      <w:color w:val="467886" w:themeColor="hyperlink"/>
      <w:u w:val="single"/>
    </w:rPr>
  </w:style>
  <w:style w:type="character" w:styleId="Lahendamatamainimine">
    <w:name w:val="Unresolved Mention"/>
    <w:basedOn w:val="Liguvaikefont"/>
    <w:uiPriority w:val="99"/>
    <w:semiHidden/>
    <w:unhideWhenUsed/>
    <w:rsid w:val="00BD7E12"/>
    <w:rPr>
      <w:color w:val="605E5C"/>
      <w:shd w:val="clear" w:color="auto" w:fill="E1DFDD"/>
    </w:rPr>
  </w:style>
  <w:style w:type="paragraph" w:styleId="Redaktsioon">
    <w:name w:val="Revision"/>
    <w:hidden/>
    <w:uiPriority w:val="99"/>
    <w:semiHidden/>
    <w:rsid w:val="000534C9"/>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atalja.zinovjeva@justdigi.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4361</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2026-05-25T13:20:00Z</dcterms:created>
  <dcterms:modified xsi:type="dcterms:W3CDTF">2026-05-25T13:20:00Z</dcterms:modified>
</cp:coreProperties>
</file>